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01E" w:rsidRPr="00CE565A" w:rsidRDefault="00D3001E" w:rsidP="00D3001E">
      <w:pPr>
        <w:jc w:val="center"/>
        <w:rPr>
          <w:rFonts w:ascii="HGP明朝E" w:eastAsia="HGP明朝E" w:hAnsi="HGP明朝E"/>
          <w:sz w:val="44"/>
          <w:szCs w:val="21"/>
        </w:rPr>
      </w:pPr>
      <w:r w:rsidRPr="00CE565A">
        <w:rPr>
          <w:rFonts w:ascii="HGP明朝E" w:eastAsia="HGP明朝E" w:hAnsi="HGP明朝E" w:hint="eastAsia"/>
          <w:sz w:val="44"/>
          <w:szCs w:val="21"/>
          <w14:textOutline w14:w="9525" w14:cap="rnd" w14:cmpd="sng" w14:algn="ctr">
            <w14:noFill/>
            <w14:prstDash w14:val="solid"/>
            <w14:bevel/>
          </w14:textOutline>
        </w:rPr>
        <w:t>役員</w:t>
      </w:r>
      <w:r w:rsidR="00CE565A">
        <w:rPr>
          <w:rFonts w:ascii="HGP明朝E" w:eastAsia="HGP明朝E" w:hAnsi="HGP明朝E" w:hint="eastAsia"/>
          <w:sz w:val="44"/>
          <w:szCs w:val="21"/>
          <w14:textOutline w14:w="9525" w14:cap="rnd" w14:cmpd="sng" w14:algn="ctr">
            <w14:noFill/>
            <w14:prstDash w14:val="solid"/>
            <w14:bevel/>
          </w14:textOutline>
        </w:rPr>
        <w:t>退職金</w:t>
      </w:r>
      <w:r w:rsidR="00D367EA">
        <w:rPr>
          <w:rFonts w:ascii="HGP明朝E" w:eastAsia="HGP明朝E" w:hAnsi="HGP明朝E" w:hint="eastAsia"/>
          <w:sz w:val="44"/>
          <w:szCs w:val="21"/>
          <w14:textOutline w14:w="9525" w14:cap="rnd" w14:cmpd="sng" w14:algn="ctr">
            <w14:noFill/>
            <w14:prstDash w14:val="solid"/>
            <w14:bevel/>
          </w14:textOutline>
        </w:rPr>
        <w:t>規程</w:t>
      </w:r>
      <w:bookmarkStart w:id="0" w:name="_GoBack"/>
      <w:bookmarkEnd w:id="0"/>
    </w:p>
    <w:p w:rsidR="00D3001E" w:rsidRDefault="00D3001E" w:rsidP="00D3001E">
      <w:pPr>
        <w:tabs>
          <w:tab w:val="left" w:pos="1230"/>
        </w:tabs>
        <w:rPr>
          <w:rFonts w:ascii="ＭＳ Ｐゴシック" w:eastAsia="ＭＳ Ｐゴシック" w:hAnsi="ＭＳ Ｐゴシック" w:cs="メイリオ"/>
          <w:szCs w:val="21"/>
        </w:rPr>
      </w:pP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第１条（総則）</w:t>
      </w: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この規程は株式会社〇〇〇〇の役員（取締役・監査役）が退任したときに支給する役員退職慰労金並びに弔慰金について定めるものである。</w:t>
      </w:r>
    </w:p>
    <w:p w:rsidR="00D3001E" w:rsidRPr="00CE565A" w:rsidRDefault="00D3001E" w:rsidP="00D3001E">
      <w:pPr>
        <w:adjustRightInd w:val="0"/>
        <w:textAlignment w:val="baseline"/>
        <w:rPr>
          <w:rFonts w:ascii="ＭＳ Ｐ明朝" w:eastAsia="ＭＳ Ｐ明朝" w:hAnsi="ＭＳ Ｐ明朝" w:cs="Times New Roman"/>
          <w:szCs w:val="21"/>
        </w:rPr>
      </w:pP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第２条（退任の定義）</w:t>
      </w: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退任の時期は以下の各号に定めるときとする。</w:t>
      </w: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１．辞任</w:t>
      </w: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２．任期満了</w:t>
      </w: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３．解任</w:t>
      </w: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４．死亡</w:t>
      </w:r>
    </w:p>
    <w:p w:rsidR="00D3001E" w:rsidRPr="00CE565A" w:rsidRDefault="00D3001E" w:rsidP="00D3001E">
      <w:pPr>
        <w:adjustRightInd w:val="0"/>
        <w:textAlignment w:val="baseline"/>
        <w:rPr>
          <w:rFonts w:ascii="ＭＳ Ｐ明朝" w:eastAsia="ＭＳ Ｐ明朝" w:hAnsi="ＭＳ Ｐ明朝" w:cs="Times New Roman"/>
          <w:szCs w:val="21"/>
        </w:rPr>
      </w:pP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第３条（株主総会の決議）</w:t>
      </w: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役員退職慰労金は株主総会の決議に従い、取締役会において決定した額とする。</w:t>
      </w:r>
    </w:p>
    <w:p w:rsidR="00D3001E" w:rsidRPr="00CE565A" w:rsidRDefault="00D3001E" w:rsidP="00D3001E">
      <w:pPr>
        <w:adjustRightInd w:val="0"/>
        <w:textAlignment w:val="baseline"/>
        <w:rPr>
          <w:rFonts w:ascii="ＭＳ Ｐ明朝" w:eastAsia="ＭＳ Ｐ明朝" w:hAnsi="ＭＳ Ｐ明朝" w:cs="Times New Roman"/>
          <w:szCs w:val="21"/>
        </w:rPr>
      </w:pP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第４条（金額の算定）</w:t>
      </w: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役員退職慰労金の支給額は以下の計算式により計算した金額とする。</w:t>
      </w: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１．役位係数　×　２．在任年数×　３．単価</w:t>
      </w:r>
    </w:p>
    <w:p w:rsidR="00D3001E" w:rsidRPr="00CE565A" w:rsidRDefault="00D3001E" w:rsidP="00D3001E">
      <w:pPr>
        <w:tabs>
          <w:tab w:val="left" w:pos="675"/>
        </w:tabs>
        <w:adjustRightInd w:val="0"/>
        <w:textAlignment w:val="baseline"/>
        <w:rPr>
          <w:rFonts w:ascii="ＭＳ Ｐ明朝" w:eastAsia="ＭＳ Ｐ明朝" w:hAnsi="ＭＳ Ｐ明朝" w:cs="Times New Roman"/>
          <w:szCs w:val="21"/>
        </w:rPr>
      </w:pPr>
    </w:p>
    <w:p w:rsidR="00D3001E" w:rsidRPr="00CE565A" w:rsidRDefault="00D3001E" w:rsidP="00D3001E">
      <w:pPr>
        <w:tabs>
          <w:tab w:val="left" w:pos="675"/>
        </w:tabs>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１．役位係数</w:t>
      </w:r>
    </w:p>
    <w:tbl>
      <w:tblPr>
        <w:tblW w:w="0" w:type="auto"/>
        <w:tblInd w:w="99"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CellMar>
          <w:left w:w="99" w:type="dxa"/>
          <w:right w:w="99" w:type="dxa"/>
        </w:tblCellMar>
        <w:tblLook w:val="0000" w:firstRow="0" w:lastRow="0" w:firstColumn="0" w:lastColumn="0" w:noHBand="0" w:noVBand="0"/>
      </w:tblPr>
      <w:tblGrid>
        <w:gridCol w:w="2160"/>
        <w:gridCol w:w="2235"/>
      </w:tblGrid>
      <w:tr w:rsidR="00D3001E" w:rsidRPr="00CE565A" w:rsidTr="00CE565A">
        <w:tc>
          <w:tcPr>
            <w:tcW w:w="2160" w:type="dxa"/>
          </w:tcPr>
          <w:p w:rsidR="00D3001E" w:rsidRPr="00CE565A" w:rsidRDefault="00D3001E" w:rsidP="00543D2C">
            <w:pPr>
              <w:adjustRightInd w:val="0"/>
              <w:jc w:val="center"/>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代表取締役</w:t>
            </w:r>
          </w:p>
        </w:tc>
        <w:tc>
          <w:tcPr>
            <w:tcW w:w="2235" w:type="dxa"/>
          </w:tcPr>
          <w:p w:rsidR="00D3001E" w:rsidRPr="00CE565A" w:rsidRDefault="00D3001E" w:rsidP="00543D2C">
            <w:pPr>
              <w:adjustRightInd w:val="0"/>
              <w:jc w:val="center"/>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３</w:t>
            </w:r>
            <w:r w:rsidRPr="00CE565A">
              <w:rPr>
                <w:rFonts w:ascii="ＭＳ Ｐ明朝" w:eastAsia="ＭＳ Ｐ明朝" w:hAnsi="ＭＳ Ｐ明朝" w:cs="Times New Roman"/>
                <w:szCs w:val="21"/>
              </w:rPr>
              <w:t>.</w:t>
            </w:r>
            <w:r w:rsidRPr="00CE565A">
              <w:rPr>
                <w:rFonts w:ascii="ＭＳ Ｐ明朝" w:eastAsia="ＭＳ Ｐ明朝" w:hAnsi="ＭＳ Ｐ明朝" w:cs="Times New Roman" w:hint="eastAsia"/>
                <w:szCs w:val="21"/>
              </w:rPr>
              <w:t>０</w:t>
            </w:r>
          </w:p>
        </w:tc>
      </w:tr>
      <w:tr w:rsidR="00D3001E" w:rsidRPr="00CE565A" w:rsidTr="00CE565A">
        <w:tc>
          <w:tcPr>
            <w:tcW w:w="2160" w:type="dxa"/>
          </w:tcPr>
          <w:p w:rsidR="00D3001E" w:rsidRPr="00CE565A" w:rsidRDefault="00D3001E" w:rsidP="00543D2C">
            <w:pPr>
              <w:adjustRightInd w:val="0"/>
              <w:jc w:val="center"/>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専務取締役</w:t>
            </w:r>
          </w:p>
        </w:tc>
        <w:tc>
          <w:tcPr>
            <w:tcW w:w="2235" w:type="dxa"/>
          </w:tcPr>
          <w:p w:rsidR="00D3001E" w:rsidRPr="00CE565A" w:rsidRDefault="00D3001E" w:rsidP="00543D2C">
            <w:pPr>
              <w:adjustRightInd w:val="0"/>
              <w:jc w:val="center"/>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２</w:t>
            </w:r>
            <w:r w:rsidRPr="00CE565A">
              <w:rPr>
                <w:rFonts w:ascii="ＭＳ Ｐ明朝" w:eastAsia="ＭＳ Ｐ明朝" w:hAnsi="ＭＳ Ｐ明朝" w:cs="Times New Roman"/>
                <w:szCs w:val="21"/>
              </w:rPr>
              <w:t>.</w:t>
            </w:r>
            <w:r w:rsidRPr="00CE565A">
              <w:rPr>
                <w:rFonts w:ascii="ＭＳ Ｐ明朝" w:eastAsia="ＭＳ Ｐ明朝" w:hAnsi="ＭＳ Ｐ明朝" w:cs="Times New Roman" w:hint="eastAsia"/>
                <w:szCs w:val="21"/>
              </w:rPr>
              <w:t>０</w:t>
            </w:r>
          </w:p>
        </w:tc>
      </w:tr>
      <w:tr w:rsidR="00D3001E" w:rsidRPr="00CE565A" w:rsidTr="00CE565A">
        <w:tc>
          <w:tcPr>
            <w:tcW w:w="2160" w:type="dxa"/>
          </w:tcPr>
          <w:p w:rsidR="00D3001E" w:rsidRPr="00CE565A" w:rsidRDefault="00D3001E" w:rsidP="00543D2C">
            <w:pPr>
              <w:adjustRightInd w:val="0"/>
              <w:jc w:val="center"/>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常務取締役</w:t>
            </w:r>
          </w:p>
        </w:tc>
        <w:tc>
          <w:tcPr>
            <w:tcW w:w="2235" w:type="dxa"/>
          </w:tcPr>
          <w:p w:rsidR="00D3001E" w:rsidRPr="00CE565A" w:rsidRDefault="00D3001E" w:rsidP="00543D2C">
            <w:pPr>
              <w:adjustRightInd w:val="0"/>
              <w:jc w:val="center"/>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１</w:t>
            </w:r>
            <w:r w:rsidRPr="00CE565A">
              <w:rPr>
                <w:rFonts w:ascii="ＭＳ Ｐ明朝" w:eastAsia="ＭＳ Ｐ明朝" w:hAnsi="ＭＳ Ｐ明朝" w:cs="Times New Roman"/>
                <w:szCs w:val="21"/>
              </w:rPr>
              <w:t>.</w:t>
            </w:r>
            <w:r w:rsidRPr="00CE565A">
              <w:rPr>
                <w:rFonts w:ascii="ＭＳ Ｐ明朝" w:eastAsia="ＭＳ Ｐ明朝" w:hAnsi="ＭＳ Ｐ明朝" w:cs="Times New Roman" w:hint="eastAsia"/>
                <w:szCs w:val="21"/>
              </w:rPr>
              <w:t>５</w:t>
            </w:r>
          </w:p>
        </w:tc>
      </w:tr>
      <w:tr w:rsidR="00D3001E" w:rsidRPr="00CE565A" w:rsidTr="00CE565A">
        <w:tc>
          <w:tcPr>
            <w:tcW w:w="2160" w:type="dxa"/>
          </w:tcPr>
          <w:p w:rsidR="00D3001E" w:rsidRPr="00CE565A" w:rsidRDefault="00D3001E" w:rsidP="00543D2C">
            <w:pPr>
              <w:adjustRightInd w:val="0"/>
              <w:jc w:val="center"/>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取締役</w:t>
            </w:r>
          </w:p>
        </w:tc>
        <w:tc>
          <w:tcPr>
            <w:tcW w:w="2235" w:type="dxa"/>
          </w:tcPr>
          <w:p w:rsidR="00D3001E" w:rsidRPr="00CE565A" w:rsidRDefault="00D3001E" w:rsidP="00543D2C">
            <w:pPr>
              <w:adjustRightInd w:val="0"/>
              <w:jc w:val="center"/>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１</w:t>
            </w:r>
            <w:r w:rsidRPr="00CE565A">
              <w:rPr>
                <w:rFonts w:ascii="ＭＳ Ｐ明朝" w:eastAsia="ＭＳ Ｐ明朝" w:hAnsi="ＭＳ Ｐ明朝" w:cs="Times New Roman"/>
                <w:szCs w:val="21"/>
              </w:rPr>
              <w:t>.</w:t>
            </w:r>
            <w:r w:rsidRPr="00CE565A">
              <w:rPr>
                <w:rFonts w:ascii="ＭＳ Ｐ明朝" w:eastAsia="ＭＳ Ｐ明朝" w:hAnsi="ＭＳ Ｐ明朝" w:cs="Times New Roman" w:hint="eastAsia"/>
                <w:szCs w:val="21"/>
              </w:rPr>
              <w:t>０</w:t>
            </w:r>
          </w:p>
        </w:tc>
      </w:tr>
      <w:tr w:rsidR="00D3001E" w:rsidRPr="00CE565A" w:rsidTr="00CE565A">
        <w:tc>
          <w:tcPr>
            <w:tcW w:w="2160" w:type="dxa"/>
          </w:tcPr>
          <w:p w:rsidR="00D3001E" w:rsidRPr="00CE565A" w:rsidRDefault="00D3001E" w:rsidP="00543D2C">
            <w:pPr>
              <w:adjustRightInd w:val="0"/>
              <w:jc w:val="center"/>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監査役</w:t>
            </w:r>
          </w:p>
        </w:tc>
        <w:tc>
          <w:tcPr>
            <w:tcW w:w="2235" w:type="dxa"/>
          </w:tcPr>
          <w:p w:rsidR="00D3001E" w:rsidRPr="00CE565A" w:rsidRDefault="00D3001E" w:rsidP="00543D2C">
            <w:pPr>
              <w:adjustRightInd w:val="0"/>
              <w:jc w:val="center"/>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０</w:t>
            </w:r>
            <w:r w:rsidRPr="00CE565A">
              <w:rPr>
                <w:rFonts w:ascii="ＭＳ Ｐ明朝" w:eastAsia="ＭＳ Ｐ明朝" w:hAnsi="ＭＳ Ｐ明朝" w:cs="Times New Roman"/>
                <w:szCs w:val="21"/>
              </w:rPr>
              <w:t>.</w:t>
            </w:r>
            <w:r w:rsidRPr="00CE565A">
              <w:rPr>
                <w:rFonts w:ascii="ＭＳ Ｐ明朝" w:eastAsia="ＭＳ Ｐ明朝" w:hAnsi="ＭＳ Ｐ明朝" w:cs="Times New Roman" w:hint="eastAsia"/>
                <w:szCs w:val="21"/>
              </w:rPr>
              <w:t>７</w:t>
            </w:r>
          </w:p>
        </w:tc>
      </w:tr>
    </w:tbl>
    <w:p w:rsidR="00D3001E" w:rsidRPr="00CE565A" w:rsidRDefault="00D3001E" w:rsidP="00D3001E">
      <w:pPr>
        <w:adjustRightInd w:val="0"/>
        <w:textAlignment w:val="baseline"/>
        <w:rPr>
          <w:rFonts w:ascii="ＭＳ Ｐ明朝" w:eastAsia="ＭＳ Ｐ明朝" w:hAnsi="ＭＳ Ｐ明朝" w:cs="Times New Roman"/>
          <w:szCs w:val="21"/>
        </w:rPr>
      </w:pP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２．在任年数</w:t>
      </w: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１年未満の在勤期間は月割とし１ヶ月未満の端数日がある場合にはこれを１ヶ月に切り上げる。</w:t>
      </w:r>
    </w:p>
    <w:p w:rsidR="00D3001E" w:rsidRPr="00CE565A" w:rsidRDefault="00D3001E" w:rsidP="00D3001E">
      <w:pPr>
        <w:adjustRightInd w:val="0"/>
        <w:textAlignment w:val="baseline"/>
        <w:rPr>
          <w:rFonts w:ascii="ＭＳ Ｐ明朝" w:eastAsia="ＭＳ Ｐ明朝" w:hAnsi="ＭＳ Ｐ明朝" w:cs="Times New Roman"/>
          <w:szCs w:val="21"/>
        </w:rPr>
      </w:pP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３．単価</w:t>
      </w: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平成〇〇年〇月〇日現在の単価を〇〇〇万円とし、必要に応じて見直しを行う。</w:t>
      </w:r>
    </w:p>
    <w:p w:rsidR="00D3001E" w:rsidRPr="00CE565A" w:rsidRDefault="00D3001E" w:rsidP="00D3001E">
      <w:pPr>
        <w:adjustRightInd w:val="0"/>
        <w:textAlignment w:val="baseline"/>
        <w:rPr>
          <w:rFonts w:ascii="ＭＳ Ｐ明朝" w:eastAsia="ＭＳ Ｐ明朝" w:hAnsi="ＭＳ Ｐ明朝" w:cs="Times New Roman"/>
          <w:szCs w:val="21"/>
        </w:rPr>
      </w:pP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第５条（功労加算）</w:t>
      </w: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在任中の功績が顕著と認められた役員については、前条により計算した金額の他に功労金として３０％相当額を超えない範囲内で功労加算をすることができる。</w:t>
      </w:r>
    </w:p>
    <w:p w:rsidR="00CE565A" w:rsidRDefault="00CE565A" w:rsidP="00D3001E">
      <w:pPr>
        <w:adjustRightInd w:val="0"/>
        <w:textAlignment w:val="baseline"/>
        <w:rPr>
          <w:rFonts w:ascii="ＭＳ Ｐ明朝" w:eastAsia="ＭＳ Ｐ明朝" w:hAnsi="ＭＳ Ｐ明朝" w:cs="Times New Roman"/>
          <w:szCs w:val="21"/>
        </w:rPr>
      </w:pP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lastRenderedPageBreak/>
        <w:t>第６条（弔慰金）</w:t>
      </w: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弔慰金は以下の表を基準とし、職位・勤続・功績等を勘案し、その都度取締役会で審議して決定する。</w:t>
      </w:r>
    </w:p>
    <w:tbl>
      <w:tblPr>
        <w:tblW w:w="0" w:type="auto"/>
        <w:tblInd w:w="99"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CellMar>
          <w:left w:w="99" w:type="dxa"/>
          <w:right w:w="99" w:type="dxa"/>
        </w:tblCellMar>
        <w:tblLook w:val="0000" w:firstRow="0" w:lastRow="0" w:firstColumn="0" w:lastColumn="0" w:noHBand="0" w:noVBand="0"/>
      </w:tblPr>
      <w:tblGrid>
        <w:gridCol w:w="2880"/>
        <w:gridCol w:w="3600"/>
      </w:tblGrid>
      <w:tr w:rsidR="00D3001E" w:rsidRPr="00CE565A" w:rsidTr="00CE565A">
        <w:tc>
          <w:tcPr>
            <w:tcW w:w="2880" w:type="dxa"/>
          </w:tcPr>
          <w:p w:rsidR="00D3001E" w:rsidRPr="00CE565A" w:rsidRDefault="00D3001E" w:rsidP="00543D2C">
            <w:pPr>
              <w:adjustRightInd w:val="0"/>
              <w:jc w:val="center"/>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業務上死亡の場合</w:t>
            </w:r>
          </w:p>
        </w:tc>
        <w:tc>
          <w:tcPr>
            <w:tcW w:w="3600" w:type="dxa"/>
          </w:tcPr>
          <w:p w:rsidR="00D3001E" w:rsidRPr="00CE565A" w:rsidRDefault="00D3001E" w:rsidP="00543D2C">
            <w:pPr>
              <w:adjustRightInd w:val="0"/>
              <w:jc w:val="center"/>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死亡時の報酬月額×３６ヶ月分</w:t>
            </w:r>
          </w:p>
        </w:tc>
      </w:tr>
      <w:tr w:rsidR="00D3001E" w:rsidRPr="00CE565A" w:rsidTr="00CE565A">
        <w:tc>
          <w:tcPr>
            <w:tcW w:w="2880" w:type="dxa"/>
          </w:tcPr>
          <w:p w:rsidR="00D3001E" w:rsidRPr="00CE565A" w:rsidRDefault="00D3001E" w:rsidP="00543D2C">
            <w:pPr>
              <w:adjustRightInd w:val="0"/>
              <w:jc w:val="center"/>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業務外死亡の場合</w:t>
            </w:r>
          </w:p>
        </w:tc>
        <w:tc>
          <w:tcPr>
            <w:tcW w:w="3600" w:type="dxa"/>
          </w:tcPr>
          <w:p w:rsidR="00D3001E" w:rsidRPr="00CE565A" w:rsidRDefault="00D3001E" w:rsidP="00543D2C">
            <w:pPr>
              <w:adjustRightInd w:val="0"/>
              <w:jc w:val="center"/>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死亡時の報酬月額×６ヶ月分</w:t>
            </w:r>
          </w:p>
        </w:tc>
      </w:tr>
    </w:tbl>
    <w:p w:rsidR="00D3001E" w:rsidRPr="00CE565A" w:rsidRDefault="00D3001E" w:rsidP="00D3001E">
      <w:pPr>
        <w:adjustRightInd w:val="0"/>
        <w:textAlignment w:val="baseline"/>
        <w:rPr>
          <w:rFonts w:ascii="ＭＳ Ｐ明朝" w:eastAsia="ＭＳ Ｐ明朝" w:hAnsi="ＭＳ Ｐ明朝" w:cs="Times New Roman"/>
          <w:szCs w:val="21"/>
        </w:rPr>
      </w:pP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第７条（支給の時期）</w:t>
      </w: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役員退職慰労金および弔慰金は、退任後速やかに支給する。ただし、やむを得ない事由によるときには支給時期を延期することがある。</w:t>
      </w:r>
    </w:p>
    <w:p w:rsidR="00D3001E" w:rsidRPr="00CE565A" w:rsidRDefault="00D3001E" w:rsidP="00D3001E">
      <w:pPr>
        <w:adjustRightInd w:val="0"/>
        <w:textAlignment w:val="baseline"/>
        <w:rPr>
          <w:rFonts w:ascii="ＭＳ Ｐ明朝" w:eastAsia="ＭＳ Ｐ明朝" w:hAnsi="ＭＳ Ｐ明朝" w:cs="Times New Roman"/>
          <w:szCs w:val="21"/>
        </w:rPr>
      </w:pP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第８条（死亡役員への支給方法）</w:t>
      </w: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役員は自己の死後、退職慰労金および弔慰金を受け取る者をあらかじめ文書によって届け出ることができる。ただし、届出がない場合には死亡した役員の法定相続人の内、取締役会で相当と認めた者に支給する。</w:t>
      </w:r>
    </w:p>
    <w:p w:rsidR="00D3001E" w:rsidRPr="00CE565A" w:rsidRDefault="00D3001E" w:rsidP="00D3001E">
      <w:pPr>
        <w:adjustRightInd w:val="0"/>
        <w:textAlignment w:val="baseline"/>
        <w:rPr>
          <w:rFonts w:ascii="ＭＳ Ｐ明朝" w:eastAsia="ＭＳ Ｐ明朝" w:hAnsi="ＭＳ Ｐ明朝" w:cs="Times New Roman"/>
          <w:szCs w:val="21"/>
        </w:rPr>
      </w:pP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第９条（非常勤役員の特例）</w:t>
      </w:r>
    </w:p>
    <w:p w:rsidR="00D3001E" w:rsidRPr="00CE565A" w:rsidRDefault="00D3001E" w:rsidP="00D3001E">
      <w:pPr>
        <w:adjustRightInd w:val="0"/>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非常勤役員の退職慰労金および弔慰金については、この規程によらず、別途取締役会で協議して決定する。</w:t>
      </w:r>
    </w:p>
    <w:p w:rsidR="00D3001E" w:rsidRPr="00CE565A" w:rsidRDefault="00D3001E" w:rsidP="00D3001E">
      <w:pPr>
        <w:adjustRightInd w:val="0"/>
        <w:textAlignment w:val="baseline"/>
        <w:rPr>
          <w:rFonts w:ascii="ＭＳ Ｐ明朝" w:eastAsia="ＭＳ Ｐ明朝" w:hAnsi="ＭＳ Ｐ明朝" w:cs="Times New Roman"/>
          <w:szCs w:val="21"/>
        </w:rPr>
      </w:pPr>
    </w:p>
    <w:p w:rsidR="00D3001E" w:rsidRPr="00CE565A" w:rsidRDefault="00D3001E" w:rsidP="00D3001E">
      <w:pPr>
        <w:adjustRightInd w:val="0"/>
        <w:jc w:val="left"/>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付　　則</w:t>
      </w:r>
    </w:p>
    <w:p w:rsidR="00D3001E" w:rsidRPr="00CE565A" w:rsidRDefault="00D3001E" w:rsidP="00D3001E">
      <w:pPr>
        <w:adjustRightInd w:val="0"/>
        <w:jc w:val="left"/>
        <w:textAlignment w:val="baseline"/>
        <w:rPr>
          <w:rFonts w:ascii="ＭＳ Ｐ明朝" w:eastAsia="ＭＳ Ｐ明朝" w:hAnsi="ＭＳ Ｐ明朝" w:cs="Times New Roman"/>
          <w:szCs w:val="21"/>
        </w:rPr>
      </w:pPr>
      <w:r w:rsidRPr="00CE565A">
        <w:rPr>
          <w:rFonts w:ascii="ＭＳ Ｐ明朝" w:eastAsia="ＭＳ Ｐ明朝" w:hAnsi="ＭＳ Ｐ明朝" w:cs="Times New Roman" w:hint="eastAsia"/>
          <w:szCs w:val="21"/>
        </w:rPr>
        <w:t>この規程は　　　　年　　月　　日から施行する。</w:t>
      </w:r>
    </w:p>
    <w:p w:rsidR="00D3001E" w:rsidRPr="00CE565A" w:rsidRDefault="00D3001E" w:rsidP="00D3001E">
      <w:pPr>
        <w:tabs>
          <w:tab w:val="left" w:pos="1230"/>
        </w:tabs>
        <w:jc w:val="left"/>
        <w:rPr>
          <w:rFonts w:ascii="ＭＳ Ｐ明朝" w:eastAsia="ＭＳ Ｐ明朝" w:hAnsi="ＭＳ Ｐ明朝" w:cs="メイリオ"/>
          <w:szCs w:val="21"/>
        </w:rPr>
      </w:pPr>
    </w:p>
    <w:p w:rsidR="00D3001E" w:rsidRPr="00CE565A" w:rsidRDefault="00D3001E" w:rsidP="00D3001E">
      <w:pPr>
        <w:tabs>
          <w:tab w:val="left" w:pos="1230"/>
        </w:tabs>
        <w:rPr>
          <w:rFonts w:ascii="ＭＳ Ｐ明朝" w:eastAsia="ＭＳ Ｐ明朝" w:hAnsi="ＭＳ Ｐ明朝" w:cs="メイリオ"/>
          <w:szCs w:val="21"/>
        </w:rPr>
      </w:pPr>
    </w:p>
    <w:p w:rsidR="00D3001E" w:rsidRPr="00CE565A" w:rsidRDefault="00D3001E" w:rsidP="00D3001E">
      <w:pPr>
        <w:tabs>
          <w:tab w:val="left" w:pos="1230"/>
        </w:tabs>
        <w:rPr>
          <w:rFonts w:ascii="ＭＳ Ｐ明朝" w:eastAsia="ＭＳ Ｐ明朝" w:hAnsi="ＭＳ Ｐ明朝" w:cs="メイリオ"/>
          <w:szCs w:val="21"/>
        </w:rPr>
      </w:pPr>
    </w:p>
    <w:p w:rsidR="00D3001E" w:rsidRPr="00CE565A" w:rsidRDefault="00D3001E" w:rsidP="00D3001E">
      <w:pPr>
        <w:tabs>
          <w:tab w:val="left" w:pos="1230"/>
        </w:tabs>
        <w:rPr>
          <w:rFonts w:ascii="ＭＳ Ｐ明朝" w:eastAsia="ＭＳ Ｐ明朝" w:hAnsi="ＭＳ Ｐ明朝" w:cs="メイリオ"/>
          <w:szCs w:val="21"/>
        </w:rPr>
      </w:pPr>
    </w:p>
    <w:p w:rsidR="00D3001E" w:rsidRPr="00CE565A" w:rsidRDefault="00D3001E" w:rsidP="00D3001E">
      <w:pPr>
        <w:tabs>
          <w:tab w:val="left" w:pos="1230"/>
        </w:tabs>
        <w:rPr>
          <w:rFonts w:ascii="ＭＳ Ｐ明朝" w:eastAsia="ＭＳ Ｐ明朝" w:hAnsi="ＭＳ Ｐ明朝" w:cs="メイリオ"/>
          <w:szCs w:val="21"/>
        </w:rPr>
      </w:pPr>
    </w:p>
    <w:p w:rsidR="00D3001E" w:rsidRPr="00CE565A" w:rsidRDefault="00D3001E" w:rsidP="00D3001E">
      <w:pPr>
        <w:tabs>
          <w:tab w:val="left" w:pos="1230"/>
        </w:tabs>
        <w:rPr>
          <w:rFonts w:ascii="ＭＳ Ｐ明朝" w:eastAsia="ＭＳ Ｐ明朝" w:hAnsi="ＭＳ Ｐ明朝" w:cs="メイリオ"/>
          <w:szCs w:val="21"/>
        </w:rPr>
      </w:pPr>
    </w:p>
    <w:p w:rsidR="00D3001E" w:rsidRPr="00CE565A" w:rsidRDefault="00D3001E" w:rsidP="00D3001E">
      <w:pPr>
        <w:tabs>
          <w:tab w:val="left" w:pos="1230"/>
        </w:tabs>
        <w:rPr>
          <w:rFonts w:ascii="ＭＳ Ｐ明朝" w:eastAsia="ＭＳ Ｐ明朝" w:hAnsi="ＭＳ Ｐ明朝" w:cs="メイリオ"/>
          <w:szCs w:val="21"/>
        </w:rPr>
      </w:pPr>
    </w:p>
    <w:p w:rsidR="00D3001E" w:rsidRPr="00CE565A" w:rsidRDefault="00D3001E" w:rsidP="00D3001E">
      <w:pPr>
        <w:tabs>
          <w:tab w:val="left" w:pos="1230"/>
        </w:tabs>
        <w:rPr>
          <w:rFonts w:ascii="ＭＳ Ｐ明朝" w:eastAsia="ＭＳ Ｐ明朝" w:hAnsi="ＭＳ Ｐ明朝" w:cs="メイリオ"/>
          <w:szCs w:val="21"/>
        </w:rPr>
      </w:pPr>
    </w:p>
    <w:p w:rsidR="00D3001E" w:rsidRPr="00CE565A" w:rsidRDefault="00D3001E" w:rsidP="00D3001E">
      <w:pPr>
        <w:tabs>
          <w:tab w:val="left" w:pos="1230"/>
        </w:tabs>
        <w:rPr>
          <w:rFonts w:ascii="ＭＳ Ｐ明朝" w:eastAsia="ＭＳ Ｐ明朝" w:hAnsi="ＭＳ Ｐ明朝" w:cs="メイリオ"/>
          <w:szCs w:val="21"/>
        </w:rPr>
      </w:pPr>
    </w:p>
    <w:p w:rsidR="00D3001E" w:rsidRPr="00CE565A" w:rsidRDefault="00D3001E" w:rsidP="00D3001E">
      <w:pPr>
        <w:tabs>
          <w:tab w:val="left" w:pos="1230"/>
        </w:tabs>
        <w:rPr>
          <w:rFonts w:ascii="ＭＳ Ｐ明朝" w:eastAsia="ＭＳ Ｐ明朝" w:hAnsi="ＭＳ Ｐ明朝" w:cs="メイリオ"/>
          <w:szCs w:val="21"/>
        </w:rPr>
      </w:pPr>
    </w:p>
    <w:p w:rsidR="00D3001E" w:rsidRPr="00CE565A" w:rsidRDefault="00D3001E" w:rsidP="00D3001E">
      <w:pPr>
        <w:tabs>
          <w:tab w:val="left" w:pos="1230"/>
        </w:tabs>
        <w:rPr>
          <w:rFonts w:ascii="ＭＳ Ｐ明朝" w:eastAsia="ＭＳ Ｐ明朝" w:hAnsi="ＭＳ Ｐ明朝" w:cs="メイリオ"/>
          <w:szCs w:val="21"/>
        </w:rPr>
      </w:pPr>
    </w:p>
    <w:p w:rsidR="00D3001E" w:rsidRPr="00CE565A" w:rsidRDefault="00D3001E" w:rsidP="00D3001E">
      <w:pPr>
        <w:tabs>
          <w:tab w:val="left" w:pos="1230"/>
        </w:tabs>
        <w:rPr>
          <w:rFonts w:ascii="ＭＳ Ｐ明朝" w:eastAsia="ＭＳ Ｐ明朝" w:hAnsi="ＭＳ Ｐ明朝" w:cs="メイリオ"/>
          <w:szCs w:val="21"/>
        </w:rPr>
      </w:pPr>
    </w:p>
    <w:p w:rsidR="00D3001E" w:rsidRPr="00CE565A" w:rsidRDefault="00D3001E" w:rsidP="00D3001E">
      <w:pPr>
        <w:tabs>
          <w:tab w:val="left" w:pos="1230"/>
        </w:tabs>
        <w:rPr>
          <w:rFonts w:ascii="ＭＳ Ｐ明朝" w:eastAsia="ＭＳ Ｐ明朝" w:hAnsi="ＭＳ Ｐ明朝" w:cs="メイリオ"/>
          <w:szCs w:val="21"/>
        </w:rPr>
      </w:pPr>
    </w:p>
    <w:p w:rsidR="00D3001E" w:rsidRPr="00CE565A" w:rsidRDefault="00D3001E" w:rsidP="00D3001E">
      <w:pPr>
        <w:tabs>
          <w:tab w:val="left" w:pos="1230"/>
        </w:tabs>
        <w:rPr>
          <w:rFonts w:ascii="ＭＳ Ｐ明朝" w:eastAsia="ＭＳ Ｐ明朝" w:hAnsi="ＭＳ Ｐ明朝" w:cs="メイリオ"/>
          <w:szCs w:val="21"/>
        </w:rPr>
      </w:pPr>
    </w:p>
    <w:p w:rsidR="00D3001E" w:rsidRPr="00CE565A" w:rsidRDefault="00D3001E" w:rsidP="00D3001E">
      <w:pPr>
        <w:tabs>
          <w:tab w:val="left" w:pos="1230"/>
        </w:tabs>
        <w:rPr>
          <w:rFonts w:ascii="ＭＳ Ｐ明朝" w:eastAsia="ＭＳ Ｐ明朝" w:hAnsi="ＭＳ Ｐ明朝" w:cs="メイリオ"/>
          <w:szCs w:val="21"/>
        </w:rPr>
      </w:pPr>
    </w:p>
    <w:p w:rsidR="00D3001E" w:rsidRPr="00CE565A" w:rsidRDefault="00D3001E" w:rsidP="00D3001E">
      <w:pPr>
        <w:tabs>
          <w:tab w:val="left" w:pos="1230"/>
        </w:tabs>
        <w:rPr>
          <w:rFonts w:ascii="ＭＳ Ｐ明朝" w:eastAsia="ＭＳ Ｐ明朝" w:hAnsi="ＭＳ Ｐ明朝" w:cs="メイリオ"/>
          <w:szCs w:val="21"/>
        </w:rPr>
      </w:pPr>
    </w:p>
    <w:p w:rsidR="000863BC" w:rsidRPr="00CE565A" w:rsidRDefault="00D367EA">
      <w:pPr>
        <w:rPr>
          <w:rFonts w:ascii="ＭＳ Ｐ明朝" w:eastAsia="ＭＳ Ｐ明朝" w:hAnsi="ＭＳ Ｐ明朝"/>
        </w:rPr>
      </w:pPr>
    </w:p>
    <w:sectPr w:rsidR="000863BC" w:rsidRPr="00CE565A" w:rsidSect="00D3001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7EA" w:rsidRDefault="00D367EA" w:rsidP="00D367EA">
      <w:r>
        <w:separator/>
      </w:r>
    </w:p>
  </w:endnote>
  <w:endnote w:type="continuationSeparator" w:id="0">
    <w:p w:rsidR="00D367EA" w:rsidRDefault="00D367EA" w:rsidP="00D3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7EA" w:rsidRDefault="00D367EA" w:rsidP="00D367EA">
      <w:r>
        <w:separator/>
      </w:r>
    </w:p>
  </w:footnote>
  <w:footnote w:type="continuationSeparator" w:id="0">
    <w:p w:rsidR="00D367EA" w:rsidRDefault="00D367EA" w:rsidP="00D367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01E"/>
    <w:rsid w:val="003652CF"/>
    <w:rsid w:val="00715167"/>
    <w:rsid w:val="00CE565A"/>
    <w:rsid w:val="00D3001E"/>
    <w:rsid w:val="00D36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A8FE08"/>
  <w15:docId w15:val="{D30FB477-62E8-48FB-A864-F3B7F23B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00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7EA"/>
    <w:pPr>
      <w:tabs>
        <w:tab w:val="center" w:pos="4252"/>
        <w:tab w:val="right" w:pos="8504"/>
      </w:tabs>
      <w:snapToGrid w:val="0"/>
    </w:pPr>
  </w:style>
  <w:style w:type="character" w:customStyle="1" w:styleId="a4">
    <w:name w:val="ヘッダー (文字)"/>
    <w:basedOn w:val="a0"/>
    <w:link w:val="a3"/>
    <w:uiPriority w:val="99"/>
    <w:rsid w:val="00D367EA"/>
  </w:style>
  <w:style w:type="paragraph" w:styleId="a5">
    <w:name w:val="footer"/>
    <w:basedOn w:val="a"/>
    <w:link w:val="a6"/>
    <w:uiPriority w:val="99"/>
    <w:unhideWhenUsed/>
    <w:rsid w:val="00D367EA"/>
    <w:pPr>
      <w:tabs>
        <w:tab w:val="center" w:pos="4252"/>
        <w:tab w:val="right" w:pos="8504"/>
      </w:tabs>
      <w:snapToGrid w:val="0"/>
    </w:pPr>
  </w:style>
  <w:style w:type="character" w:customStyle="1" w:styleId="a6">
    <w:name w:val="フッター (文字)"/>
    <w:basedOn w:val="a0"/>
    <w:link w:val="a5"/>
    <w:uiPriority w:val="99"/>
    <w:rsid w:val="00D36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tanaka@omakase-hl.co.jp</cp:lastModifiedBy>
  <cp:revision>3</cp:revision>
  <dcterms:created xsi:type="dcterms:W3CDTF">2016-01-04T09:09:00Z</dcterms:created>
  <dcterms:modified xsi:type="dcterms:W3CDTF">2018-11-08T12:43:00Z</dcterms:modified>
</cp:coreProperties>
</file>